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BF" w:rsidRPr="00ED01BF" w:rsidRDefault="00ED01BF" w:rsidP="00ED01BF">
      <w:pPr>
        <w:tabs>
          <w:tab w:val="left" w:pos="284"/>
        </w:tabs>
        <w:rPr>
          <w:rFonts w:ascii="ＭＳ 明朝" w:eastAsia="ＭＳ 明朝" w:hAnsi="ＭＳ 明朝" w:cs="Times New Roman"/>
          <w:b/>
          <w:sz w:val="24"/>
          <w:szCs w:val="24"/>
        </w:rPr>
      </w:pPr>
      <w:r w:rsidRPr="00ED01BF">
        <w:rPr>
          <w:rFonts w:ascii="ＭＳ 明朝" w:eastAsia="ＭＳ 明朝" w:hAnsi="ＭＳ 明朝" w:cs="Times New Roman" w:hint="eastAsia"/>
          <w:b/>
          <w:sz w:val="24"/>
          <w:szCs w:val="24"/>
        </w:rPr>
        <w:t>卓越大学院プログラム</w:t>
      </w:r>
    </w:p>
    <w:p w:rsidR="00ED01BF" w:rsidRPr="00ED01BF" w:rsidRDefault="00ED01BF" w:rsidP="00ED01BF">
      <w:pPr>
        <w:tabs>
          <w:tab w:val="left" w:pos="284"/>
        </w:tabs>
        <w:rPr>
          <w:rFonts w:ascii="ＭＳ 明朝" w:eastAsia="ＭＳ 明朝" w:hAnsi="ＭＳ 明朝" w:cs="Times New Roman"/>
          <w:b/>
          <w:sz w:val="24"/>
          <w:szCs w:val="24"/>
        </w:rPr>
      </w:pPr>
      <w:r>
        <w:rPr>
          <w:rFonts w:ascii="ＭＳ 明朝" w:eastAsia="ＭＳ 明朝" w:hAnsi="ＭＳ 明朝" w:cs="Times New Roman" w:hint="eastAsia"/>
          <w:b/>
          <w:sz w:val="24"/>
          <w:szCs w:val="24"/>
        </w:rPr>
        <w:t>「</w:t>
      </w:r>
      <w:r w:rsidRPr="00ED01BF">
        <w:rPr>
          <w:rFonts w:ascii="ＭＳ 明朝" w:eastAsia="ＭＳ 明朝" w:hAnsi="ＭＳ 明朝" w:cs="Times New Roman" w:hint="eastAsia"/>
          <w:b/>
          <w:sz w:val="24"/>
          <w:szCs w:val="24"/>
        </w:rPr>
        <w:t>パワー・エネルギー・プロフェッショナル（PEP）育成プログラム</w:t>
      </w:r>
      <w:r>
        <w:rPr>
          <w:rFonts w:ascii="ＭＳ 明朝" w:eastAsia="ＭＳ 明朝" w:hAnsi="ＭＳ 明朝" w:cs="Times New Roman" w:hint="eastAsia"/>
          <w:b/>
          <w:sz w:val="24"/>
          <w:szCs w:val="24"/>
        </w:rPr>
        <w:t>」の概要</w:t>
      </w:r>
    </w:p>
    <w:p w:rsidR="00ED01BF" w:rsidRPr="00ED01BF" w:rsidRDefault="00ED01BF" w:rsidP="00ED01BF">
      <w:pPr>
        <w:tabs>
          <w:tab w:val="left" w:pos="284"/>
        </w:tabs>
        <w:rPr>
          <w:rFonts w:ascii="ＭＳ 明朝" w:eastAsia="ＭＳ 明朝" w:hAnsi="ＭＳ 明朝" w:cs="Times New Roman" w:hint="eastAsia"/>
          <w:b/>
          <w:sz w:val="24"/>
          <w:szCs w:val="24"/>
        </w:rPr>
      </w:pPr>
    </w:p>
    <w:p w:rsidR="00ED01BF" w:rsidRPr="00ED01BF" w:rsidRDefault="00ED01BF" w:rsidP="005E4FA7">
      <w:pPr>
        <w:ind w:firstLineChars="100" w:firstLine="240"/>
        <w:rPr>
          <w:rFonts w:ascii="ＭＳ 明朝" w:eastAsia="ＭＳ 明朝" w:hAnsi="ＭＳ 明朝" w:cs="Times New Roman"/>
          <w:sz w:val="24"/>
        </w:rPr>
      </w:pPr>
      <w:r w:rsidRPr="00ED01BF">
        <w:rPr>
          <w:rFonts w:ascii="ＭＳ 明朝" w:eastAsia="ＭＳ 明朝" w:hAnsi="ＭＳ 明朝" w:cs="Times New Roman" w:hint="eastAsia"/>
          <w:sz w:val="24"/>
        </w:rPr>
        <w:t>本｢パワー・エネルギー・プロフェッショナル</w:t>
      </w:r>
      <w:r w:rsidRPr="00ED01BF">
        <w:rPr>
          <w:rFonts w:ascii="ＭＳ 明朝" w:eastAsia="ＭＳ 明朝" w:hAnsi="ＭＳ 明朝" w:cs="Times New Roman"/>
          <w:sz w:val="24"/>
        </w:rPr>
        <w:t>(PEP)</w:t>
      </w:r>
      <w:r w:rsidRPr="00ED01BF">
        <w:rPr>
          <w:rFonts w:ascii="ＭＳ 明朝" w:eastAsia="ＭＳ 明朝" w:hAnsi="ＭＳ 明朝" w:cs="Times New Roman" w:hint="eastAsia"/>
          <w:sz w:val="24"/>
        </w:rPr>
        <w:t>育成プログラム｣は、連携</w:t>
      </w:r>
      <w:r w:rsidRPr="00ED01BF">
        <w:rPr>
          <w:rFonts w:ascii="ＭＳ 明朝" w:eastAsia="ＭＳ 明朝" w:hAnsi="ＭＳ 明朝" w:cs="Times New Roman"/>
          <w:sz w:val="24"/>
        </w:rPr>
        <w:t>13</w:t>
      </w:r>
      <w:r w:rsidRPr="00ED01BF">
        <w:rPr>
          <w:rFonts w:ascii="ＭＳ 明朝" w:eastAsia="ＭＳ 明朝" w:hAnsi="ＭＳ 明朝" w:cs="Times New Roman" w:hint="eastAsia"/>
          <w:sz w:val="24"/>
        </w:rPr>
        <w:t>大学（北海道大学、東北大学、福井大学、山梨大学、首都大学東京、横浜国立大学、名古屋大学、大阪大学、広島大学、徳島大学、九州大学、琉球大学、早稲田大学）による</w:t>
      </w:r>
      <w:r w:rsidRPr="00ED01BF">
        <w:rPr>
          <w:rFonts w:ascii="ＭＳ 明朝" w:eastAsia="ＭＳ 明朝" w:hAnsi="ＭＳ 明朝" w:cs="Times New Roman"/>
          <w:b/>
          <w:sz w:val="24"/>
          <w:u w:val="single"/>
        </w:rPr>
        <w:t xml:space="preserve">5 </w:t>
      </w:r>
      <w:r w:rsidRPr="00ED01BF">
        <w:rPr>
          <w:rFonts w:ascii="ＭＳ 明朝" w:eastAsia="ＭＳ 明朝" w:hAnsi="ＭＳ 明朝" w:cs="Times New Roman" w:hint="eastAsia"/>
          <w:b/>
          <w:sz w:val="24"/>
          <w:u w:val="single"/>
        </w:rPr>
        <w:t>年一貫の博士人材育成プログラム</w:t>
      </w:r>
      <w:r w:rsidRPr="00ED01BF">
        <w:rPr>
          <w:rFonts w:ascii="ＭＳ 明朝" w:eastAsia="ＭＳ 明朝" w:hAnsi="ＭＳ 明朝" w:cs="Times New Roman" w:hint="eastAsia"/>
          <w:sz w:val="24"/>
        </w:rPr>
        <w:t>である。</w:t>
      </w:r>
    </w:p>
    <w:p w:rsidR="00ED01BF" w:rsidRPr="00ED01BF" w:rsidRDefault="00ED01BF" w:rsidP="005E4FA7">
      <w:pPr>
        <w:ind w:firstLineChars="100" w:firstLine="240"/>
        <w:rPr>
          <w:rFonts w:ascii="ＭＳ 明朝" w:eastAsia="ＭＳ 明朝" w:hAnsi="ＭＳ 明朝" w:cs="Times New Roman"/>
          <w:sz w:val="24"/>
        </w:rPr>
      </w:pPr>
      <w:r w:rsidRPr="00ED01BF">
        <w:rPr>
          <w:rFonts w:ascii="ＭＳ 明朝" w:eastAsia="ＭＳ 明朝" w:hAnsi="ＭＳ 明朝" w:cs="Times New Roman" w:hint="eastAsia"/>
          <w:sz w:val="24"/>
        </w:rPr>
        <w:t>本プログラムの目的は、</w:t>
      </w:r>
      <w:r w:rsidRPr="00ED01BF">
        <w:rPr>
          <w:rFonts w:ascii="ＭＳ 明朝" w:eastAsia="ＭＳ 明朝" w:hAnsi="ＭＳ 明朝" w:cs="Times New Roman"/>
          <w:sz w:val="24"/>
        </w:rPr>
        <w:t xml:space="preserve">Society5.0 </w:t>
      </w:r>
      <w:r w:rsidRPr="00ED01BF">
        <w:rPr>
          <w:rFonts w:ascii="ＭＳ 明朝" w:eastAsia="ＭＳ 明朝" w:hAnsi="ＭＳ 明朝" w:cs="Times New Roman" w:hint="eastAsia"/>
          <w:sz w:val="24"/>
        </w:rPr>
        <w:t>のコアである｢エネルギーバリューチェーンの最適化｣による新産業創出を様々なセクターで主導する｢知のプロフェッショナル｣を輩出することである。</w:t>
      </w:r>
    </w:p>
    <w:p w:rsidR="00ED01BF" w:rsidRPr="00ED01BF" w:rsidRDefault="00ED01BF" w:rsidP="005E4FA7">
      <w:pPr>
        <w:ind w:firstLineChars="100" w:firstLine="240"/>
        <w:rPr>
          <w:rFonts w:ascii="ＭＳ 明朝" w:eastAsia="ＭＳ 明朝" w:hAnsi="ＭＳ 明朝" w:cs="Times New Roman"/>
          <w:sz w:val="24"/>
        </w:rPr>
      </w:pPr>
      <w:r w:rsidRPr="00ED01BF">
        <w:rPr>
          <w:rFonts w:ascii="ＭＳ 明朝" w:eastAsia="ＭＳ 明朝" w:hAnsi="ＭＳ 明朝" w:cs="Times New Roman" w:hint="eastAsia"/>
          <w:sz w:val="24"/>
        </w:rPr>
        <w:t>エネルギーマテリアル分野から電力システム分野までを含む教育を一気通貫の単一課程とし、これによる技術イノベーションと、制度設計や従来にない付加価値をビジネスとして結実させる社会的イノベーションとを両輪として目指す新たな学理｢パワーリソースオプティマイズ｣の体系的教育研究プログラムを提供する。</w:t>
      </w:r>
    </w:p>
    <w:p w:rsidR="00ED01BF" w:rsidRPr="00ED01BF" w:rsidRDefault="00ED01BF" w:rsidP="005E4FA7">
      <w:pPr>
        <w:ind w:firstLineChars="100" w:firstLine="240"/>
        <w:rPr>
          <w:rFonts w:ascii="ＭＳ 明朝" w:eastAsia="ＭＳ 明朝" w:hAnsi="ＭＳ 明朝" w:cs="Times New Roman"/>
          <w:sz w:val="24"/>
        </w:rPr>
      </w:pPr>
      <w:r w:rsidRPr="00ED01BF">
        <w:rPr>
          <w:rFonts w:ascii="ＭＳ 明朝" w:eastAsia="ＭＳ 明朝" w:hAnsi="ＭＳ 明朝" w:cs="Times New Roman" w:hint="eastAsia"/>
          <w:sz w:val="24"/>
        </w:rPr>
        <w:t>国内</w:t>
      </w:r>
      <w:r w:rsidRPr="00ED01BF">
        <w:rPr>
          <w:rFonts w:ascii="ＭＳ 明朝" w:eastAsia="ＭＳ 明朝" w:hAnsi="ＭＳ 明朝" w:cs="Times New Roman"/>
          <w:sz w:val="24"/>
        </w:rPr>
        <w:t>13</w:t>
      </w:r>
      <w:r w:rsidRPr="00ED01BF">
        <w:rPr>
          <w:rFonts w:ascii="ＭＳ 明朝" w:eastAsia="ＭＳ 明朝" w:hAnsi="ＭＳ 明朝" w:cs="Times New Roman" w:hint="eastAsia"/>
          <w:sz w:val="24"/>
        </w:rPr>
        <w:t>大学が連携して第一線の教員を結集し、連携機関との産学協働と海外大学との連携により、修士課程および博士後期課程合わせて</w:t>
      </w:r>
      <w:r w:rsidRPr="00ED01BF">
        <w:rPr>
          <w:rFonts w:ascii="ＭＳ 明朝" w:eastAsia="ＭＳ 明朝" w:hAnsi="ＭＳ 明朝" w:cs="Times New Roman"/>
          <w:sz w:val="24"/>
        </w:rPr>
        <w:t>5</w:t>
      </w:r>
      <w:r w:rsidRPr="00ED01BF">
        <w:rPr>
          <w:rFonts w:ascii="ＭＳ 明朝" w:eastAsia="ＭＳ 明朝" w:hAnsi="ＭＳ 明朝" w:cs="Times New Roman" w:hint="eastAsia"/>
          <w:sz w:val="24"/>
        </w:rPr>
        <w:t>年一貫の世界に通用する質の保証された学位プログラムであり、この学位取得のプログラムを「</w:t>
      </w:r>
      <w:r w:rsidRPr="00ED01BF">
        <w:rPr>
          <w:rFonts w:ascii="ＭＳ 明朝" w:eastAsia="ＭＳ 明朝" w:hAnsi="ＭＳ 明朝" w:cs="Times New Roman"/>
          <w:sz w:val="24"/>
        </w:rPr>
        <w:t>PEP</w:t>
      </w:r>
      <w:r w:rsidRPr="00ED01BF">
        <w:rPr>
          <w:rFonts w:ascii="ＭＳ 明朝" w:eastAsia="ＭＳ 明朝" w:hAnsi="ＭＳ 明朝" w:cs="Times New Roman" w:hint="eastAsia"/>
          <w:sz w:val="24"/>
        </w:rPr>
        <w:t>卓越大学院プログラム」と呼ぶ。</w:t>
      </w:r>
    </w:p>
    <w:p w:rsidR="00ED01BF" w:rsidRPr="00ED01BF" w:rsidRDefault="00ED01BF" w:rsidP="005E4FA7">
      <w:pPr>
        <w:ind w:firstLineChars="100" w:firstLine="240"/>
        <w:rPr>
          <w:rFonts w:ascii="ＭＳ 明朝" w:eastAsia="ＭＳ 明朝" w:hAnsi="ＭＳ 明朝" w:cs="Times New Roman"/>
          <w:sz w:val="24"/>
        </w:rPr>
      </w:pPr>
      <w:r w:rsidRPr="00ED01BF">
        <w:rPr>
          <w:rFonts w:ascii="ＭＳ 明朝" w:eastAsia="ＭＳ 明朝" w:hAnsi="ＭＳ 明朝" w:cs="Times New Roman" w:hint="eastAsia"/>
          <w:sz w:val="24"/>
        </w:rPr>
        <w:t>学生は</w:t>
      </w:r>
      <w:r w:rsidRPr="00ED01BF">
        <w:rPr>
          <w:rFonts w:ascii="ＭＳ 明朝" w:eastAsia="ＭＳ 明朝" w:hAnsi="ＭＳ 明朝" w:cs="Times New Roman" w:hint="eastAsia"/>
          <w:sz w:val="24"/>
          <w:u w:val="single"/>
        </w:rPr>
        <w:t>自らの専攻の履修・修了に加え</w:t>
      </w:r>
      <w:r w:rsidRPr="00ED01BF">
        <w:rPr>
          <w:rFonts w:ascii="ＭＳ 明朝" w:eastAsia="ＭＳ 明朝" w:hAnsi="ＭＳ 明朝" w:cs="Times New Roman" w:hint="eastAsia"/>
          <w:sz w:val="24"/>
        </w:rPr>
        <w:t>、本プログラム修了要件（</w:t>
      </w:r>
      <w:r w:rsidRPr="00ED01BF">
        <w:rPr>
          <w:rFonts w:ascii="ＭＳ 明朝" w:eastAsia="ＭＳ 明朝" w:hAnsi="ＭＳ 明朝" w:cs="Times New Roman"/>
          <w:sz w:val="24"/>
        </w:rPr>
        <w:t>5</w:t>
      </w:r>
      <w:r w:rsidRPr="00ED01BF">
        <w:rPr>
          <w:rFonts w:ascii="ＭＳ 明朝" w:eastAsia="ＭＳ 明朝" w:hAnsi="ＭＳ 明朝" w:cs="Times New Roman" w:hint="eastAsia"/>
          <w:sz w:val="24"/>
        </w:rPr>
        <w:t>年間で</w:t>
      </w:r>
      <w:r w:rsidRPr="00ED01BF">
        <w:rPr>
          <w:rFonts w:ascii="ＭＳ 明朝" w:eastAsia="ＭＳ 明朝" w:hAnsi="ＭＳ 明朝" w:cs="Times New Roman"/>
          <w:sz w:val="24"/>
        </w:rPr>
        <w:t>45</w:t>
      </w:r>
      <w:r w:rsidRPr="00ED01BF">
        <w:rPr>
          <w:rFonts w:ascii="ＭＳ 明朝" w:eastAsia="ＭＳ 明朝" w:hAnsi="ＭＳ 明朝" w:cs="Times New Roman" w:hint="eastAsia"/>
          <w:sz w:val="24"/>
        </w:rPr>
        <w:t>単位、他）を修得することにより「</w:t>
      </w:r>
      <w:r w:rsidRPr="00ED01BF">
        <w:rPr>
          <w:rFonts w:ascii="ＭＳ 明朝" w:eastAsia="ＭＳ 明朝" w:hAnsi="ＭＳ 明朝" w:cs="Times New Roman"/>
          <w:sz w:val="24"/>
        </w:rPr>
        <w:t>PEP</w:t>
      </w:r>
      <w:r w:rsidRPr="00ED01BF">
        <w:rPr>
          <w:rFonts w:ascii="ＭＳ 明朝" w:eastAsia="ＭＳ 明朝" w:hAnsi="ＭＳ 明朝" w:cs="Times New Roman" w:hint="eastAsia"/>
          <w:sz w:val="24"/>
        </w:rPr>
        <w:t>卓越大学院プログラム修了認定証」が授与される。本プログラム授業科目は、卓越必修科目（</w:t>
      </w:r>
      <w:r w:rsidRPr="00ED01BF">
        <w:rPr>
          <w:rFonts w:ascii="ＭＳ 明朝" w:eastAsia="ＭＳ 明朝" w:hAnsi="ＭＳ 明朝" w:cs="Times New Roman"/>
          <w:sz w:val="24"/>
        </w:rPr>
        <w:t>7</w:t>
      </w:r>
      <w:r w:rsidRPr="00ED01BF">
        <w:rPr>
          <w:rFonts w:ascii="ＭＳ 明朝" w:eastAsia="ＭＳ 明朝" w:hAnsi="ＭＳ 明朝" w:cs="Times New Roman" w:hint="eastAsia"/>
          <w:sz w:val="24"/>
        </w:rPr>
        <w:t>科目</w:t>
      </w:r>
      <w:r w:rsidRPr="00ED01BF">
        <w:rPr>
          <w:rFonts w:ascii="ＭＳ 明朝" w:eastAsia="ＭＳ 明朝" w:hAnsi="ＭＳ 明朝" w:cs="Times New Roman"/>
          <w:sz w:val="24"/>
        </w:rPr>
        <w:t>10</w:t>
      </w:r>
      <w:r w:rsidRPr="00ED01BF">
        <w:rPr>
          <w:rFonts w:ascii="ＭＳ 明朝" w:eastAsia="ＭＳ 明朝" w:hAnsi="ＭＳ 明朝" w:cs="Times New Roman" w:hint="eastAsia"/>
          <w:sz w:val="24"/>
        </w:rPr>
        <w:t>単位）が早稲田大学に設置され、それ以外の卓越専門選択科目等は自らの所属する大学の研究科・専攻に設置される。早稲田大学に設置される卓越必修科目の履修にあたっては、オンデマンド形式、集中合宿形式、学外連携先実習の形態で実施し、連携12大学学生にも配慮した設計となっている。</w:t>
      </w:r>
    </w:p>
    <w:p w:rsidR="00ED01BF" w:rsidRPr="00ED01BF" w:rsidRDefault="00ED01BF" w:rsidP="005E4FA7">
      <w:pPr>
        <w:ind w:firstLineChars="100" w:firstLine="240"/>
        <w:rPr>
          <w:rFonts w:ascii="ＭＳ 明朝" w:eastAsia="ＭＳ 明朝" w:hAnsi="ＭＳ 明朝" w:cs="Times New Roman"/>
          <w:sz w:val="24"/>
        </w:rPr>
      </w:pPr>
      <w:r w:rsidRPr="00ED01BF">
        <w:rPr>
          <w:rFonts w:ascii="ＭＳ 明朝" w:eastAsia="ＭＳ 明朝" w:hAnsi="ＭＳ 明朝" w:cs="Times New Roman" w:hint="eastAsia"/>
          <w:sz w:val="24"/>
        </w:rPr>
        <w:t>なお、本プログラム修了は、</w:t>
      </w:r>
      <w:r w:rsidRPr="00ED01BF">
        <w:rPr>
          <w:rFonts w:ascii="ＭＳ 明朝" w:eastAsia="ＭＳ 明朝" w:hAnsi="ＭＳ 明朝" w:cs="Times New Roman" w:hint="eastAsia"/>
          <w:sz w:val="24"/>
          <w:u w:val="single"/>
        </w:rPr>
        <w:t>自らの大学の研究科・専攻の履修・修了が大前提</w:t>
      </w:r>
      <w:r w:rsidRPr="00ED01BF">
        <w:rPr>
          <w:rFonts w:ascii="ＭＳ 明朝" w:eastAsia="ＭＳ 明朝" w:hAnsi="ＭＳ 明朝" w:cs="Times New Roman" w:hint="eastAsia"/>
          <w:sz w:val="24"/>
        </w:rPr>
        <w:t>となるため、自らの専攻の履修・修了について、自らの所属する大学の研究科・専攻の要件等を必ず確認すること。</w:t>
      </w:r>
    </w:p>
    <w:p w:rsidR="00ED01BF" w:rsidRPr="00ED01BF" w:rsidRDefault="00ED01BF" w:rsidP="00ED01BF">
      <w:pPr>
        <w:widowControl/>
        <w:ind w:firstLineChars="100" w:firstLine="240"/>
        <w:jc w:val="left"/>
        <w:rPr>
          <w:rFonts w:ascii="ＭＳ 明朝" w:eastAsia="ＭＳ 明朝" w:hAnsi="ＭＳ 明朝" w:cs="Times New Roman"/>
          <w:color w:val="000000"/>
          <w:sz w:val="24"/>
        </w:rPr>
      </w:pPr>
      <w:r w:rsidRPr="00ED01BF">
        <w:rPr>
          <w:rFonts w:ascii="ＭＳ 明朝" w:eastAsia="ＭＳ 明朝" w:hAnsi="ＭＳ 明朝" w:cs="Times New Roman" w:hint="eastAsia"/>
          <w:color w:val="000000"/>
          <w:sz w:val="24"/>
        </w:rPr>
        <w:t>本プログラムの概要図を以下に示す。</w:t>
      </w:r>
    </w:p>
    <w:p w:rsidR="00ED01BF" w:rsidRPr="00ED01BF" w:rsidRDefault="00ED01BF" w:rsidP="00ED01BF">
      <w:pPr>
        <w:widowControl/>
        <w:jc w:val="left"/>
        <w:rPr>
          <w:rFonts w:ascii="ＭＳ 明朝" w:eastAsia="ＭＳ 明朝" w:hAnsi="ＭＳ 明朝" w:cs="Times New Roman"/>
          <w:color w:val="FF0000"/>
          <w:sz w:val="24"/>
        </w:rPr>
      </w:pPr>
      <w:r w:rsidRPr="00ED01BF">
        <w:rPr>
          <w:rFonts w:ascii="ＭＳ 明朝" w:eastAsia="ＭＳ 明朝" w:hAnsi="ＭＳ 明朝" w:cs="Times New Roman" w:hint="eastAsia"/>
          <w:color w:val="FF0000"/>
          <w:sz w:val="24"/>
        </w:rPr>
        <w:lastRenderedPageBreak/>
        <w:t xml:space="preserve">　　　</w:t>
      </w:r>
      <w:bookmarkStart w:id="0" w:name="_GoBack"/>
      <w:r w:rsidRPr="00ED01BF">
        <w:rPr>
          <w:rFonts w:ascii="Century" w:eastAsia="ＭＳ 明朝" w:hAnsi="Century" w:cs="Times New Roman"/>
          <w:noProof/>
          <w:sz w:val="24"/>
        </w:rPr>
        <w:drawing>
          <wp:inline distT="0" distB="0" distL="0" distR="0" wp14:anchorId="35F17903" wp14:editId="0BBC42C2">
            <wp:extent cx="4986557" cy="3019425"/>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92430" cy="3022981"/>
                    </a:xfrm>
                    <a:prstGeom prst="rect">
                      <a:avLst/>
                    </a:prstGeom>
                    <a:noFill/>
                    <a:ln>
                      <a:noFill/>
                    </a:ln>
                  </pic:spPr>
                </pic:pic>
              </a:graphicData>
            </a:graphic>
          </wp:inline>
        </w:drawing>
      </w:r>
      <w:bookmarkEnd w:id="0"/>
    </w:p>
    <w:p w:rsidR="00ED01BF" w:rsidRPr="00ED01BF" w:rsidRDefault="00ED01BF" w:rsidP="00ED01BF">
      <w:pPr>
        <w:widowControl/>
        <w:jc w:val="left"/>
        <w:rPr>
          <w:rFonts w:ascii="ＭＳ 明朝" w:eastAsia="ＭＳ 明朝" w:hAnsi="ＭＳ 明朝" w:cs="Times New Roman"/>
          <w:color w:val="FF0000"/>
          <w:sz w:val="24"/>
        </w:rPr>
      </w:pPr>
    </w:p>
    <w:p w:rsidR="004D69EF" w:rsidRDefault="005E4FA7"/>
    <w:sectPr w:rsidR="004D69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BF"/>
    <w:rsid w:val="00161FB4"/>
    <w:rsid w:val="001C0825"/>
    <w:rsid w:val="005E4FA7"/>
    <w:rsid w:val="00ED0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3F51B"/>
  <w15:chartTrackingRefBased/>
  <w15:docId w15:val="{74206E00-6809-46C8-A084-D3425F21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hiroumi.s@gmail.com</dc:creator>
  <cp:keywords/>
  <dc:description/>
  <cp:lastModifiedBy>hiroumi.s@gmail.com</cp:lastModifiedBy>
  <cp:revision>2</cp:revision>
  <dcterms:created xsi:type="dcterms:W3CDTF">2019-02-08T05:44:00Z</dcterms:created>
  <dcterms:modified xsi:type="dcterms:W3CDTF">2019-02-08T05:50:00Z</dcterms:modified>
</cp:coreProperties>
</file>